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1416"/>
        <w:spacing w:before="100" w:after="0" w:line="240" w:lineRule="auto"/>
        <w:jc w:val="center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b/>
          <w:color w:val="00000a"/>
          <w:sz w:val="24"/>
        </w:rPr>
        <w:t>ЗАКЛЮЧЕНИЕ РЕВИЗИОННОЙ КОМИССИИ О РЕЗУЛЬТАТАХ ПРОВЕРКИ ФИНАНСОВО-ХОЗЯЙСТВЕННОЙ ДЕЯТЕЛЬНОСТИ   ТСЖ     «ЛИЛИЯ», пр. А. КОРСУНОВА, 57</w:t>
      </w:r>
      <w:r>
        <w:rPr>
          <w:rFonts w:ascii="Times New Roman" w:hAnsi="Times New Roman" w:eastAsia="Times New Roman"/>
          <w:color w:val="00000a"/>
          <w:sz w:val="24"/>
        </w:rPr>
      </w:r>
    </w:p>
    <w:p>
      <w:pPr>
        <w:spacing w:before="100" w:after="0" w:line="240" w:lineRule="auto"/>
        <w:jc w:val="center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spacing w:before="100"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г. Великий Новгород                                                                                  «18» марта 2025 г.</w:t>
      </w:r>
    </w:p>
    <w:p>
      <w:pPr>
        <w:ind w:firstLine="720"/>
        <w:spacing w:before="100"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 xml:space="preserve">Ревизионная комиссия в составе: председателя – Исмаил Инны Викторовны, членов ревизионной комиссии Черешнюк Ирины Владимировны провела проверку финансово-хозяйственной деятельности ТСЖ «Лилия» за период с 01 января 2024 г. по 31 декабря 2024 г.  </w:t>
      </w:r>
    </w:p>
    <w:p>
      <w:pPr>
        <w:ind w:firstLine="720"/>
        <w:spacing w:before="100"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Проверке представлены  годовая бухгалтерская отчетность за 2024 год, анализ выполнения сметы доходов и расходов  ТСЖ «Лилия» за 2024 год,  результаты инвентаризации активов и обязательств ТСЖ «Лилия», а также иные локальные правовые акты, бухгалтерские и финансовые документы.</w:t>
      </w:r>
    </w:p>
    <w:p>
      <w:pPr>
        <w:ind w:firstLine="720"/>
        <w:spacing w:before="100"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По результатам проверки составлено заключение, которое должно быть доведено до сведения собственников. В  проверяемом периоде обязанности председателя правления ТСЖ «Лилия» осуществляла с 01.01.2014 и по настоящее время Коко Ольга Васильевна. Обязанности бухгалтера ТСЖ «Лилия»  исполняла Михайлова Наталья Владимировна, на основании трудового договора от 01.01.2014, заключенного с   председателем  правления ТСЖ «Лилия»  Коко О.В.</w:t>
      </w:r>
    </w:p>
    <w:p>
      <w:pPr>
        <w:ind w:firstLine="720"/>
        <w:spacing w:before="100"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Проверка  финансово-хозяйственной деятельности ТСЖ «Лилия» проводилась по следующим вопросам:</w:t>
      </w:r>
    </w:p>
    <w:p>
      <w:pPr>
        <w:numPr>
          <w:ilvl w:val="0"/>
          <w:numId w:val="6"/>
        </w:numPr>
        <w:ind w:left="720" w:hanging="360"/>
        <w:spacing w:before="100" w:after="0" w:line="240" w:lineRule="auto"/>
        <w:jc w:val="both"/>
        <w:tabs defTabSz="708">
          <w:tab w:val="left" w:pos="720" w:leader="none"/>
        </w:tabs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Общая информация о ТСЖ «Лилия»;</w:t>
      </w:r>
    </w:p>
    <w:p>
      <w:pPr>
        <w:numPr>
          <w:ilvl w:val="0"/>
          <w:numId w:val="6"/>
        </w:numPr>
        <w:ind w:left="720" w:hanging="360"/>
        <w:spacing w:before="100" w:after="0" w:line="240" w:lineRule="auto"/>
        <w:jc w:val="both"/>
        <w:tabs defTabSz="708">
          <w:tab w:val="left" w:pos="720" w:leader="none"/>
        </w:tabs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Анализ нефинансовых активов  и движения денежных средств;</w:t>
      </w:r>
    </w:p>
    <w:p>
      <w:pPr>
        <w:numPr>
          <w:ilvl w:val="0"/>
          <w:numId w:val="6"/>
        </w:numPr>
        <w:ind w:left="720" w:hanging="360"/>
        <w:spacing w:before="100" w:after="0" w:line="240" w:lineRule="auto"/>
        <w:jc w:val="both"/>
        <w:tabs defTabSz="708">
          <w:tab w:val="left" w:pos="720" w:leader="none"/>
        </w:tabs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Исполнение сметы доходов и расходов за 2024 год;</w:t>
      </w:r>
    </w:p>
    <w:p>
      <w:pPr>
        <w:numPr>
          <w:ilvl w:val="0"/>
          <w:numId w:val="6"/>
        </w:numPr>
        <w:ind w:left="720" w:hanging="360"/>
        <w:spacing w:before="100" w:after="0" w:line="240" w:lineRule="auto"/>
        <w:jc w:val="both"/>
        <w:tabs defTabSz="708">
          <w:tab w:val="left" w:pos="720" w:leader="none"/>
        </w:tabs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Оплата труда.</w:t>
      </w:r>
    </w:p>
    <w:p>
      <w:pPr>
        <w:ind w:firstLine="720"/>
        <w:spacing w:before="100"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b/>
          <w:color w:val="00000a"/>
          <w:sz w:val="24"/>
        </w:rPr>
        <w:t xml:space="preserve">1.ОБЩАЯ ИНФОРМАЦИЯ </w:t>
      </w:r>
      <w:r>
        <w:rPr>
          <w:rFonts w:ascii="Times New Roman" w:hAnsi="Times New Roman" w:eastAsia="Times New Roman"/>
          <w:color w:val="00000a"/>
          <w:sz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Полное наименование: товарищество собственников жилья «Лилия»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Сокращенное наименование: ТСЖ «Лилия»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ИНН: 5321061815, КПП 532101001, ОГРН 1025300820599, 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ОКВЭД 70.32.1 «Управление недвижимым имуществом»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Юридический адрес: 173023, Великий Новгород, пр. А. Корсунова, д. 57.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Фактический адрес (место нахождения): тот же.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Телефон: (8162) 61-41-18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Организационно-правовая форма (ОКОПФ): некоммерческая организация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ТСЖ «Лилия» открыты следующие  счета: 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для осуществления финансово-хозяйственной деятельности - расчетный счет № 40703810943160000012 в Новгородском ОСБ 8629; 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для осуществления деятельности по благоустройству территории - счет № 40703810043000000865  в Новгородском ОСБ 8629 (закрыт 31.07.2024 г.)</w:t>
      </w:r>
    </w:p>
    <w:p>
      <w:pPr>
        <w:ind w:firstLine="540"/>
        <w:spacing w:before="200"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 xml:space="preserve">В проверяемом периоде организация бухгалтерского учета  ТСЖ «Лилия» ( далее –ТСЖ, Организация)  регулировалась нормами </w:t>
      </w:r>
      <w:r>
        <w:rPr>
          <w:rFonts w:ascii="Times New Roman" w:hAnsi="Times New Roman" w:eastAsia="Times New Roman"/>
          <w:sz w:val="24"/>
        </w:rPr>
        <w:t xml:space="preserve"> Федерального  закона от  6 декабря 2011 г. N 402-ФЗ "О бухгалтерском учете" (далее - Федеральный закон N 402-ФЗ), Положением об учетной политике, утвержденной приказом по Организации от 01.01.2014.</w:t>
      </w:r>
    </w:p>
    <w:p>
      <w:pPr>
        <w:ind w:firstLine="540"/>
        <w:spacing w:before="200" w:after="0" w:line="240" w:lineRule="auto"/>
        <w:jc w:val="both"/>
        <w:rPr>
          <w:rFonts w:ascii="Arial" w:hAnsi="Arial" w:eastAsia="Arial" w:cs="Arial"/>
          <w:sz w:val="20"/>
        </w:rPr>
      </w:pPr>
      <w:r>
        <w:rPr>
          <w:rFonts w:ascii="Times New Roman" w:hAnsi="Times New Roman" w:eastAsia="Times New Roman"/>
          <w:sz w:val="24"/>
        </w:rPr>
        <w:t>Для отражения операций на счетах бухгалтерского учета используется План счетов бухгалтерского учета финансово-хозяйственной деятельности организаций и  инструкции  по его применению, утвержденными Приказом Минфина России от 31 октября 2000 г. N 94н.  ТСЖ, как некоммерческая организация, в силу положений установленных пунктом 10 статьи 21 Закона № 402-ФЗ имеет право применять и применяет упрощенные способы ведения бухгалтерского учета, включая  упрощенную бухгалтерскую отчетность. Проверке представлены бухгалтерский баланс Организации, Отчет о финансовых результатах, Отчет о целевом использовании средств за 2024 год (далее – бухгалтерская отчетность).</w:t>
      </w:r>
      <w:r>
        <w:rPr>
          <w:rFonts w:ascii="Arial" w:hAnsi="Arial" w:eastAsia="Arial" w:cs="Arial"/>
          <w:sz w:val="20"/>
        </w:rPr>
      </w:r>
    </w:p>
    <w:p>
      <w:pPr>
        <w:ind w:firstLine="720"/>
        <w:spacing w:before="100" w:after="0" w:line="240" w:lineRule="auto"/>
        <w:jc w:val="center"/>
        <w:rPr>
          <w:rFonts w:ascii="Times New Roman" w:hAnsi="Times New Roman" w:eastAsia="Times New Roman"/>
          <w:b/>
          <w:color w:val="00000a"/>
          <w:sz w:val="24"/>
          <w:szCs w:val="24"/>
        </w:rPr>
      </w:pPr>
      <w:r>
        <w:rPr>
          <w:rFonts w:ascii="Times New Roman" w:hAnsi="Times New Roman" w:eastAsia="Times New Roman"/>
          <w:b/>
          <w:color w:val="00000a"/>
          <w:sz w:val="24"/>
          <w:szCs w:val="24"/>
        </w:rPr>
        <w:t>2. Анализ  нефинансовых активов и движения денежных средств</w:t>
      </w:r>
    </w:p>
    <w:p>
      <w:pPr>
        <w:ind w:firstLine="720"/>
        <w:spacing w:before="100" w:after="0" w:line="240" w:lineRule="auto"/>
        <w:jc w:val="center"/>
        <w:rPr>
          <w:rFonts w:ascii="Times New Roman" w:hAnsi="Times New Roman" w:eastAsia="Times New Roman"/>
          <w:color w:val="00000a"/>
          <w:sz w:val="24"/>
          <w:szCs w:val="24"/>
        </w:rPr>
      </w:pPr>
      <w:r>
        <w:rPr>
          <w:rFonts w:ascii="Times New Roman" w:hAnsi="Times New Roman" w:eastAsia="Times New Roman"/>
          <w:color w:val="00000a"/>
          <w:sz w:val="24"/>
          <w:szCs w:val="24"/>
        </w:rPr>
      </w:r>
    </w:p>
    <w:p>
      <w:pPr>
        <w:pStyle w:val="para2"/>
        <w:ind w:firstLine="851"/>
        <w:spacing w:before="0" w:after="0" w:beforeAutospacing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По данным бухгалтерской отчетности,  за отчетный период валюта баланса ТСЖ уменьшилась на 2 205 тыс. руб. и составила 5 132 тыс. руб. Изменение произошло за счет снижения дебиторской задолженности и денежных средств.</w:t>
      </w:r>
      <w:r>
        <w:rPr>
          <w:sz w:val="24"/>
          <w:szCs w:val="24"/>
        </w:rPr>
      </w:r>
    </w:p>
    <w:p>
      <w:pPr>
        <w:ind w:firstLine="720"/>
        <w:spacing w:before="100"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 xml:space="preserve">По состоянию на 31.12.2024 г. на балансе ТСЖ числится 29 объектов основных средств, общей балансовой стоимостью 2 729,7 тыс. рублей.  В течение проверяемого периода приобретения и списания объектов основных средств не было. За 2024 год начислен износ в сумме </w:t>
      </w:r>
      <w:r>
        <w:rPr>
          <w:rFonts w:ascii="Times New Roman" w:hAnsi="Times New Roman" w:eastAsia="Times New Roman"/>
          <w:color w:val="00000a"/>
          <w:sz w:val="24"/>
        </w:rPr>
        <w:t>29,8</w:t>
      </w:r>
      <w:r>
        <w:rPr>
          <w:rFonts w:ascii="Times New Roman" w:hAnsi="Times New Roman" w:eastAsia="Times New Roman"/>
          <w:color w:val="00000a"/>
          <w:sz w:val="24"/>
        </w:rPr>
        <w:t xml:space="preserve"> тыс. руб., износ числящихся объектов основных средств на начало проверяемого периода составлял </w:t>
      </w:r>
      <w:r>
        <w:rPr>
          <w:rFonts w:ascii="Times New Roman" w:hAnsi="Times New Roman" w:eastAsia="Times New Roman"/>
          <w:color w:val="00000a"/>
          <w:sz w:val="24"/>
        </w:rPr>
        <w:t xml:space="preserve">91 </w:t>
      </w:r>
      <w:r>
        <w:rPr>
          <w:rFonts w:ascii="Times New Roman" w:hAnsi="Times New Roman" w:eastAsia="Times New Roman"/>
          <w:color w:val="00000a"/>
          <w:sz w:val="24"/>
        </w:rPr>
        <w:t>%</w:t>
      </w:r>
      <w:r>
        <w:rPr>
          <w:rFonts w:ascii="Times New Roman" w:hAnsi="Times New Roman" w:eastAsia="Times New Roman"/>
          <w:color w:val="00000a"/>
          <w:sz w:val="24"/>
        </w:rPr>
        <w:t xml:space="preserve">, на конец проверяемого периода </w:t>
      </w:r>
      <w:r>
        <w:rPr>
          <w:rFonts w:ascii="Times New Roman" w:hAnsi="Times New Roman" w:eastAsia="Times New Roman"/>
          <w:color w:val="00000a"/>
          <w:sz w:val="24"/>
        </w:rPr>
        <w:t>9</w:t>
      </w:r>
      <w:r>
        <w:rPr>
          <w:rFonts w:ascii="Times New Roman" w:hAnsi="Times New Roman" w:eastAsia="Times New Roman"/>
          <w:color w:val="00000a"/>
          <w:sz w:val="24"/>
        </w:rPr>
        <w:t>2</w:t>
      </w:r>
      <w:r>
        <w:rPr>
          <w:rFonts w:ascii="Times New Roman" w:hAnsi="Times New Roman" w:eastAsia="Times New Roman"/>
          <w:color w:val="00000a"/>
          <w:sz w:val="24"/>
        </w:rPr>
        <w:t>%.</w:t>
      </w: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720"/>
        <w:spacing w:before="100"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По состоянию на 01.01.2024 г. на балансовом счете 10 «Сырье и материалы» числился остаток в сумме 62,5 тыс. руб. В течение 2024 года приобретено материалов на сумму 291,9 тыс. руб., списано материалов на нужды ТСЖ в сумме 291,6 тыс. руб. На конец отчетного периода стоимость материалов  составляет  62,8 тыс. рублей. Показатели  нефинансовых активов, отраженных в бухгалтерской отчетности, подтверждены результатами инвентаризации.</w:t>
      </w:r>
    </w:p>
    <w:p>
      <w:pPr>
        <w:ind w:firstLine="720"/>
        <w:spacing w:before="240" w:after="24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 xml:space="preserve">По состоянию на 01.01.2024 г. остаток денежных средств ТСЖ составлял 332,2 тыс. руб., в том числе: в </w:t>
      </w:r>
      <w:r>
        <w:rPr>
          <w:rFonts w:ascii="Times New Roman" w:hAnsi="Times New Roman" w:eastAsia="Times New Roman"/>
          <w:color w:val="000000"/>
          <w:sz w:val="24"/>
        </w:rPr>
        <w:t>кассе -  0,5 тыс. руб</w:t>
      </w:r>
      <w:r>
        <w:rPr>
          <w:rFonts w:ascii="Times New Roman" w:hAnsi="Times New Roman" w:eastAsia="Times New Roman"/>
          <w:color w:val="00000a"/>
          <w:sz w:val="24"/>
        </w:rPr>
        <w:t xml:space="preserve">.; на расчетном счете в Новгородском ОСБ № 8629 – </w:t>
      </w:r>
      <w:r>
        <w:rPr>
          <w:rFonts w:ascii="Times New Roman" w:hAnsi="Times New Roman" w:eastAsia="Times New Roman"/>
          <w:color w:val="00000a"/>
          <w:sz w:val="24"/>
        </w:rPr>
        <w:t>3</w:t>
      </w:r>
      <w:r>
        <w:rPr>
          <w:rFonts w:ascii="Times New Roman" w:hAnsi="Times New Roman" w:eastAsia="Times New Roman"/>
          <w:color w:val="00000a"/>
          <w:sz w:val="24"/>
        </w:rPr>
        <w:t>31,7</w:t>
      </w:r>
      <w:r>
        <w:rPr>
          <w:rFonts w:ascii="Times New Roman" w:hAnsi="Times New Roman" w:eastAsia="Times New Roman"/>
          <w:color w:val="00000a"/>
          <w:sz w:val="24"/>
        </w:rPr>
        <w:t xml:space="preserve"> тыс. руб</w:t>
      </w:r>
      <w:r>
        <w:rPr>
          <w:rFonts w:ascii="Times New Roman" w:hAnsi="Times New Roman" w:eastAsia="Times New Roman"/>
          <w:color w:val="00000a"/>
          <w:sz w:val="24"/>
        </w:rPr>
        <w:t>.</w:t>
      </w: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720"/>
        <w:spacing w:before="240" w:after="24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 xml:space="preserve"> За проверяемый период  с расчетного счета  получены в кассу ТСЖ  227,0 тыс. рублей, возврат подотчетных денег 8,2 тыс. рублей. Расход денежных средств из кассы за проверяемый период составил 226,8 тыс. руб. в том числе: выдано подотчетным лицам – 11,7 тыс. руб.; выплачена заработная плата (включая отпускные) работников – 161,3 тыс. рублей, по договорам ГПХ – 53,8</w:t>
      </w:r>
      <w:r>
        <w:rPr>
          <w:rFonts w:ascii="Times New Roman" w:hAnsi="Times New Roman" w:eastAsia="Times New Roman"/>
          <w:color w:val="00000a"/>
          <w:sz w:val="24"/>
        </w:rPr>
        <w:t xml:space="preserve"> тыс. руб. Остаток</w:t>
      </w:r>
      <w:r>
        <w:rPr>
          <w:rFonts w:ascii="Times New Roman" w:hAnsi="Times New Roman" w:eastAsia="Times New Roman"/>
          <w:b/>
          <w:color w:val="00000a"/>
          <w:sz w:val="24"/>
        </w:rPr>
        <w:t xml:space="preserve"> </w:t>
      </w:r>
      <w:r>
        <w:rPr>
          <w:rFonts w:ascii="Times New Roman" w:hAnsi="Times New Roman" w:eastAsia="Times New Roman"/>
          <w:color w:val="00000a"/>
          <w:sz w:val="24"/>
        </w:rPr>
        <w:t xml:space="preserve">средств </w:t>
      </w:r>
      <w:r>
        <w:rPr>
          <w:rFonts w:ascii="Times New Roman" w:hAnsi="Times New Roman" w:eastAsia="Times New Roman"/>
          <w:color w:val="000000"/>
          <w:sz w:val="24"/>
        </w:rPr>
        <w:t>на 31.12.202</w:t>
      </w:r>
      <w:r>
        <w:rPr>
          <w:rFonts w:ascii="Times New Roman" w:hAnsi="Times New Roman" w:eastAsia="Times New Roman"/>
          <w:color w:val="000000"/>
          <w:sz w:val="24"/>
        </w:rPr>
        <w:t>4</w:t>
      </w:r>
      <w:r>
        <w:rPr>
          <w:rFonts w:ascii="Times New Roman" w:hAnsi="Times New Roman" w:eastAsia="Times New Roman"/>
          <w:color w:val="000000"/>
          <w:sz w:val="24"/>
        </w:rPr>
        <w:t xml:space="preserve"> г. </w:t>
      </w:r>
      <w:r>
        <w:rPr>
          <w:rFonts w:ascii="Times New Roman" w:hAnsi="Times New Roman" w:eastAsia="Times New Roman"/>
          <w:color w:val="000000"/>
          <w:sz w:val="24"/>
        </w:rPr>
        <w:t xml:space="preserve">в кассе ТСЖ </w:t>
      </w:r>
      <w:r>
        <w:rPr>
          <w:rFonts w:ascii="Times New Roman" w:hAnsi="Times New Roman" w:eastAsia="Times New Roman"/>
          <w:color w:val="000000"/>
          <w:sz w:val="24"/>
        </w:rPr>
        <w:t xml:space="preserve">составил </w:t>
      </w:r>
      <w:r>
        <w:rPr>
          <w:rFonts w:ascii="Times New Roman" w:hAnsi="Times New Roman" w:eastAsia="Times New Roman"/>
          <w:color w:val="000000"/>
          <w:sz w:val="24"/>
        </w:rPr>
        <w:t>8,9 тыс.</w:t>
      </w:r>
      <w:r>
        <w:rPr>
          <w:rFonts w:ascii="Times New Roman" w:hAnsi="Times New Roman" w:eastAsia="Times New Roman"/>
          <w:color w:val="000000"/>
          <w:sz w:val="24"/>
        </w:rPr>
        <w:t xml:space="preserve"> рублей</w:t>
      </w:r>
      <w:r>
        <w:rPr>
          <w:rFonts w:ascii="Times New Roman" w:hAnsi="Times New Roman" w:eastAsia="Times New Roman"/>
          <w:color w:val="00000a"/>
          <w:sz w:val="24"/>
        </w:rPr>
        <w:t>.</w:t>
      </w: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72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b/>
          <w:color w:val="00000a"/>
          <w:sz w:val="24"/>
        </w:rPr>
        <w:t xml:space="preserve">На расчетный счет ТСЖ в Новгородском Банке Сбербанк поступило – 6 627,1 тыс. руб., </w:t>
      </w:r>
      <w:r>
        <w:rPr>
          <w:rFonts w:ascii="Times New Roman" w:hAnsi="Times New Roman" w:eastAsia="Times New Roman"/>
          <w:color w:val="00000a"/>
          <w:sz w:val="24"/>
        </w:rPr>
        <w:t>в том числе:</w:t>
      </w:r>
    </w:p>
    <w:p>
      <w:pPr>
        <w:numPr>
          <w:ilvl w:val="0"/>
          <w:numId w:val="3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 xml:space="preserve"> Возврат депозита – 1 000,0 тыс. руб.;</w:t>
      </w:r>
    </w:p>
    <w:p>
      <w:pPr>
        <w:numPr>
          <w:ilvl w:val="0"/>
          <w:numId w:val="3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Проценты по депозиту – 32,5 тыс. руб.;</w:t>
      </w:r>
    </w:p>
    <w:p>
      <w:pPr>
        <w:numPr>
          <w:ilvl w:val="0"/>
          <w:numId w:val="3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Плата за размещение оборудования провайдеров и компенсация затрат по электроэнергии – 32,3 тыс. руб.;</w:t>
      </w:r>
    </w:p>
    <w:p>
      <w:pPr>
        <w:numPr>
          <w:ilvl w:val="0"/>
          <w:numId w:val="3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Дебиторская задолженность ООО «ТНС энерго Великий Новгород» - 415,3 тыс. руб.;</w:t>
      </w:r>
    </w:p>
    <w:p>
      <w:pPr>
        <w:numPr>
          <w:ilvl w:val="0"/>
          <w:numId w:val="3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Поступления от ООО «ИАЦ по ЖКХ» (содержание МКД) – 5 116,2 тыс. руб.;</w:t>
      </w:r>
    </w:p>
    <w:p>
      <w:pPr>
        <w:numPr>
          <w:ilvl w:val="0"/>
          <w:numId w:val="3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Поступления от ООО «ИАЦ по ЖКХ» (пени) – 30,8 тыс. руб.;</w:t>
      </w:r>
    </w:p>
    <w:p>
      <w:pPr>
        <w:ind w:left="144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720"/>
        <w:spacing w:after="0" w:line="240" w:lineRule="auto"/>
        <w:rPr>
          <w:rFonts w:ascii="Times New Roman" w:hAnsi="Times New Roman" w:eastAsia="Times New Roman"/>
          <w:b/>
          <w:color w:val="00000a"/>
          <w:sz w:val="24"/>
        </w:rPr>
      </w:pPr>
      <w:r>
        <w:rPr>
          <w:rFonts w:ascii="Times New Roman" w:hAnsi="Times New Roman" w:eastAsia="Times New Roman"/>
          <w:b/>
          <w:color w:val="00000a"/>
          <w:sz w:val="24"/>
        </w:rPr>
        <w:t xml:space="preserve">Расход денежных средств с расчетного счета ТСЖ составил 6 917,8 тыс. руб., в </w:t>
      </w:r>
      <w:r>
        <w:rPr>
          <w:rFonts w:ascii="Times New Roman" w:hAnsi="Times New Roman" w:eastAsia="Times New Roman"/>
          <w:color w:val="00000a"/>
          <w:sz w:val="24"/>
        </w:rPr>
        <w:t>том числе</w:t>
      </w:r>
      <w:r>
        <w:rPr>
          <w:rFonts w:ascii="Times New Roman" w:hAnsi="Times New Roman" w:eastAsia="Times New Roman"/>
          <w:b/>
          <w:color w:val="00000a"/>
          <w:sz w:val="24"/>
        </w:rPr>
        <w:t xml:space="preserve">: </w:t>
      </w:r>
      <w:r>
        <w:rPr>
          <w:rFonts w:ascii="Times New Roman" w:hAnsi="Times New Roman" w:eastAsia="Times New Roman"/>
          <w:b/>
          <w:color w:val="00000a"/>
          <w:sz w:val="24"/>
        </w:rPr>
      </w:r>
    </w:p>
    <w:p>
      <w:pPr>
        <w:pStyle w:val="para3"/>
        <w:numPr>
          <w:ilvl w:val="0"/>
          <w:numId w:val="5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Оплата банковских комиссий – 44,9 тыс. руб.;</w:t>
      </w:r>
    </w:p>
    <w:p>
      <w:pPr>
        <w:pStyle w:val="para3"/>
        <w:numPr>
          <w:ilvl w:val="0"/>
          <w:numId w:val="5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Снятие наличных в кассу ТСЖ – 227 тыс. руб.;</w:t>
      </w:r>
    </w:p>
    <w:p>
      <w:pPr>
        <w:pStyle w:val="para3"/>
        <w:numPr>
          <w:ilvl w:val="0"/>
          <w:numId w:val="5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Размещение депозита – 250 тыс. руб.;</w:t>
      </w:r>
    </w:p>
    <w:p>
      <w:pPr>
        <w:pStyle w:val="para3"/>
        <w:numPr>
          <w:ilvl w:val="0"/>
          <w:numId w:val="5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Оплата поставщика товаров, услуг – 3 784,9 тыс. руб.;</w:t>
      </w:r>
    </w:p>
    <w:p>
      <w:pPr>
        <w:pStyle w:val="para3"/>
        <w:numPr>
          <w:ilvl w:val="0"/>
          <w:numId w:val="5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Перечисления в бюджет – 912,2 тыс. руб.;</w:t>
      </w:r>
    </w:p>
    <w:p>
      <w:pPr>
        <w:pStyle w:val="para3"/>
        <w:numPr>
          <w:ilvl w:val="0"/>
          <w:numId w:val="5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Перечисления сотрудникам на карты (зарплата, отпускные, окончательный расчет при увольнении и т.д.) – 1 521,5 тыс. руб.;</w:t>
      </w:r>
    </w:p>
    <w:p>
      <w:pPr>
        <w:pStyle w:val="para3"/>
        <w:numPr>
          <w:ilvl w:val="0"/>
          <w:numId w:val="5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Перечисление подотчетных сумм – 75,7 тыс. руб.;</w:t>
      </w:r>
    </w:p>
    <w:p>
      <w:pPr>
        <w:pStyle w:val="para3"/>
        <w:numPr>
          <w:ilvl w:val="0"/>
          <w:numId w:val="5"/>
        </w:numPr>
        <w:ind w:left="144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Перечисление по исполнительным листам – 101,6 тыс. руб.;</w:t>
      </w:r>
    </w:p>
    <w:p>
      <w:pPr>
        <w:spacing w:after="0" w:line="240" w:lineRule="auto"/>
        <w:rPr>
          <w:rFonts w:ascii="Times New Roman" w:hAnsi="Times New Roman" w:eastAsia="Times New Roman"/>
          <w:b/>
          <w:color w:val="00000a"/>
          <w:sz w:val="24"/>
        </w:rPr>
      </w:pPr>
      <w:r>
        <w:rPr>
          <w:rFonts w:ascii="Times New Roman" w:hAnsi="Times New Roman" w:eastAsia="Times New Roman"/>
          <w:b/>
          <w:color w:val="00000a"/>
          <w:sz w:val="24"/>
        </w:rPr>
      </w:r>
    </w:p>
    <w:p>
      <w:pPr>
        <w:ind w:firstLine="851"/>
        <w:spacing w:before="100"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Остаток денежных средств, числящихся на расчетном счете ТСЖ в Сбербанке  на 31.12.2024 г. составил 41,0 тыс. рублей.</w:t>
      </w:r>
    </w:p>
    <w:p>
      <w:pPr>
        <w:ind w:firstLine="851"/>
        <w:spacing w:before="100"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851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По данным бухгалтерского учета и отчетности текущая дебиторская задолженность ТСЖ по состоянию 01.01.2024 г. значилась 3 201,1 тыс.руб., в том числе: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платежи собственников за жилищно-коммунальные услуги  в сумме 2 582,2 тыс. рублей;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задолженность МУП «ИАЦ по ЖКХ» по платежам (за декабрь) в сумме 477,3 тыс. рублей;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 авансы поставщикам в сумме 104,5 тыс.рублей;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плата за пользование общедомового имущества в сумме 19,3 тыс. рублей;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прочие дебиторы в сумме 17,8 тыс. руб.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В течении 2024 года произошло снижение дебиторской задолженности на сумму 1 163,1 тыс. рублей и она составила 2038,0  тыс. рублей, в том числе: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платежи собственников за жилищно-коммунальные услуги  в сумме 1 243,5 тыс. рублей;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задолженность МУП «ИАЦ по ЖКХ» по платежам (за декабрь) в сумме 733,2 тыс. рублей;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 авансы поставщикам в сумме 38,4 тыс.рублей;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плата за пользование общедомового имущества в сумме 22,9 тыс. рублей.</w:t>
      </w:r>
    </w:p>
    <w:p>
      <w:pPr>
        <w:ind w:firstLine="567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851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По данным бухгалтерского учета и отчетности текущая кредиторская задолженность ТСЖ по состоянию 01.01.2024 г.  значилась 1 551,0  тыс. руб., в том числе:</w:t>
      </w:r>
    </w:p>
    <w:p>
      <w:pPr>
        <w:pStyle w:val="para3"/>
        <w:numPr>
          <w:ilvl w:val="0"/>
          <w:numId w:val="10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задолженность перед поставщиками услуг – 1 097,2 тыс. рублей;</w:t>
      </w:r>
    </w:p>
    <w:p>
      <w:pPr>
        <w:pStyle w:val="para3"/>
        <w:numPr>
          <w:ilvl w:val="0"/>
          <w:numId w:val="10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задолженность перед Комитетом финансов Администрации Великого Новгорода (денежная выплата за победу в конкурсе на лучшую территорию, закроется в 2024 году) – 371,4 тыс.руб.;</w:t>
      </w:r>
    </w:p>
    <w:p>
      <w:pPr>
        <w:pStyle w:val="para3"/>
        <w:numPr>
          <w:ilvl w:val="0"/>
          <w:numId w:val="10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задолженность в бюджет по налогам (срок уплаты – 28.03.2024 г.) – 75,0 тыс. рублей;</w:t>
      </w:r>
    </w:p>
    <w:p>
      <w:pPr>
        <w:pStyle w:val="para3"/>
        <w:numPr>
          <w:ilvl w:val="0"/>
          <w:numId w:val="10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прочие кредиторы – 7,4 тыс. руб.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В течении 2024 года кредиторская задолженность уменьшилась на 331,0 тыс. рублей и составила 1 220,0 тыс. рублей, в том числе:</w:t>
      </w:r>
    </w:p>
    <w:p>
      <w:pPr>
        <w:pStyle w:val="para3"/>
        <w:numPr>
          <w:ilvl w:val="0"/>
          <w:numId w:val="2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задолженность перед поставщиками услуг – 1 154,3 тыс. рублей;</w:t>
      </w:r>
    </w:p>
    <w:p>
      <w:pPr>
        <w:pStyle w:val="para3"/>
        <w:numPr>
          <w:ilvl w:val="0"/>
          <w:numId w:val="2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- задолженность в бюджет по налогам (срок уплаты – 28.03.2025 г.) – 65,7 тыс. рублей.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851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 xml:space="preserve"> Между ТСЖ и Новгородским Сбербанком заключен депозитный договор от 26.12.2024 на сумму 250,0 тыс. руб. сроком на 100 дней, с выплатой</w:t>
      </w:r>
      <w:r>
        <w:rPr>
          <w:rFonts w:ascii="Times New Roman" w:hAnsi="Times New Roman" w:eastAsia="Times New Roman"/>
          <w:color w:val="00000a"/>
          <w:sz w:val="24"/>
        </w:rPr>
        <w:t xml:space="preserve"> процентов в размере </w:t>
      </w:r>
      <w:r>
        <w:rPr>
          <w:rFonts w:ascii="Times New Roman" w:hAnsi="Times New Roman" w:eastAsia="Times New Roman"/>
          <w:color w:val="00000a"/>
          <w:sz w:val="24"/>
        </w:rPr>
        <w:t>1</w:t>
      </w:r>
      <w:r>
        <w:rPr>
          <w:rFonts w:ascii="Times New Roman" w:hAnsi="Times New Roman" w:eastAsia="Times New Roman"/>
          <w:color w:val="00000a"/>
          <w:sz w:val="24"/>
        </w:rPr>
        <w:t>7</w:t>
      </w:r>
      <w:r>
        <w:rPr>
          <w:rFonts w:ascii="Times New Roman" w:hAnsi="Times New Roman" w:eastAsia="Times New Roman"/>
          <w:color w:val="00000a"/>
          <w:sz w:val="24"/>
        </w:rPr>
        <w:t>,</w:t>
      </w:r>
      <w:r>
        <w:rPr>
          <w:rFonts w:ascii="Times New Roman" w:hAnsi="Times New Roman" w:eastAsia="Times New Roman"/>
          <w:color w:val="00000a"/>
          <w:sz w:val="24"/>
        </w:rPr>
        <w:t>95</w:t>
      </w:r>
      <w:r>
        <w:rPr>
          <w:rFonts w:ascii="Times New Roman" w:hAnsi="Times New Roman" w:eastAsia="Times New Roman"/>
          <w:color w:val="00000a"/>
          <w:sz w:val="24"/>
        </w:rPr>
        <w:t>%</w:t>
      </w:r>
      <w:r>
        <w:rPr>
          <w:rFonts w:ascii="Times New Roman" w:hAnsi="Times New Roman" w:eastAsia="Times New Roman"/>
          <w:color w:val="00000a"/>
          <w:sz w:val="24"/>
        </w:rPr>
        <w:t xml:space="preserve"> годовых (срок получения </w:t>
      </w:r>
      <w:r>
        <w:rPr>
          <w:rFonts w:ascii="Times New Roman" w:hAnsi="Times New Roman" w:eastAsia="Times New Roman"/>
          <w:color w:val="00000a"/>
          <w:sz w:val="24"/>
        </w:rPr>
        <w:t>31</w:t>
      </w:r>
      <w:r>
        <w:rPr>
          <w:rFonts w:ascii="Times New Roman" w:hAnsi="Times New Roman" w:eastAsia="Times New Roman"/>
          <w:color w:val="00000a"/>
          <w:sz w:val="24"/>
        </w:rPr>
        <w:t>.0</w:t>
      </w:r>
      <w:r>
        <w:rPr>
          <w:rFonts w:ascii="Times New Roman" w:hAnsi="Times New Roman" w:eastAsia="Times New Roman"/>
          <w:color w:val="00000a"/>
          <w:sz w:val="24"/>
        </w:rPr>
        <w:t>3</w:t>
      </w:r>
      <w:r>
        <w:rPr>
          <w:rFonts w:ascii="Times New Roman" w:hAnsi="Times New Roman" w:eastAsia="Times New Roman"/>
          <w:color w:val="00000a"/>
          <w:sz w:val="24"/>
        </w:rPr>
        <w:t>.202</w:t>
      </w:r>
      <w:r>
        <w:rPr>
          <w:rFonts w:ascii="Times New Roman" w:hAnsi="Times New Roman" w:eastAsia="Times New Roman"/>
          <w:color w:val="00000a"/>
          <w:sz w:val="24"/>
        </w:rPr>
        <w:t>5</w:t>
      </w:r>
      <w:r>
        <w:rPr>
          <w:rFonts w:ascii="Times New Roman" w:hAnsi="Times New Roman" w:eastAsia="Times New Roman"/>
          <w:color w:val="00000a"/>
          <w:sz w:val="24"/>
        </w:rPr>
        <w:t xml:space="preserve"> г.). </w:t>
      </w: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851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В целом, по состоянию на 31.12.2024 г. остаток денежных средств ТСЖ (на расчетном счете и в кассе) составляет – 299,9 тыс. руб., в том числе: в кассе – 8,9 тыс. руб.;  на расчетном счете в Новгородском ОСБ  № 8629  – 41 тыс. руб..</w:t>
      </w:r>
    </w:p>
    <w:p>
      <w:pPr>
        <w:ind w:left="720"/>
        <w:spacing w:before="100"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b/>
          <w:color w:val="00000a"/>
          <w:sz w:val="24"/>
        </w:rPr>
        <w:t>3. Анализ исполнение сметы доходов и расходов за 2024 год</w:t>
      </w: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 xml:space="preserve">В проверяемом периоде </w:t>
      </w:r>
      <w:r>
        <w:rPr>
          <w:rFonts w:ascii="Times New Roman" w:hAnsi="Times New Roman" w:eastAsia="Times New Roman"/>
          <w:b/>
          <w:color w:val="00000a"/>
          <w:sz w:val="24"/>
        </w:rPr>
        <w:t>доходы ТСЖ</w:t>
      </w:r>
      <w:r>
        <w:rPr>
          <w:rFonts w:ascii="Times New Roman" w:hAnsi="Times New Roman" w:eastAsia="Times New Roman"/>
          <w:color w:val="00000a"/>
          <w:sz w:val="24"/>
        </w:rPr>
        <w:t xml:space="preserve"> формировались за счет следующих источников:</w:t>
      </w:r>
    </w:p>
    <w:p>
      <w:pPr>
        <w:pStyle w:val="para3"/>
        <w:numPr>
          <w:ilvl w:val="0"/>
          <w:numId w:val="4"/>
        </w:numPr>
        <w:ind w:left="1428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платы собственников за текущий ремонт и содержание жилого дома, в соответствии с тарифами, с 01.01.2024 г.  – 26,00 руб./1м2. Тариф утвержден Общим собранием от 31.</w:t>
      </w:r>
      <w:r>
        <w:rPr>
          <w:rFonts w:ascii="Times New Roman" w:hAnsi="Times New Roman" w:eastAsia="Times New Roman"/>
          <w:color w:val="00000a"/>
          <w:sz w:val="24"/>
        </w:rPr>
        <w:t>01</w:t>
      </w:r>
      <w:r>
        <w:rPr>
          <w:rFonts w:ascii="Times New Roman" w:hAnsi="Times New Roman" w:eastAsia="Times New Roman"/>
          <w:color w:val="00000a"/>
          <w:sz w:val="24"/>
        </w:rPr>
        <w:t>.202</w:t>
      </w:r>
      <w:r>
        <w:rPr>
          <w:rFonts w:ascii="Times New Roman" w:hAnsi="Times New Roman" w:eastAsia="Times New Roman"/>
          <w:color w:val="00000a"/>
          <w:sz w:val="24"/>
        </w:rPr>
        <w:t>4 г.</w:t>
      </w:r>
      <w:r>
        <w:rPr>
          <w:rFonts w:ascii="Times New Roman" w:hAnsi="Times New Roman" w:eastAsia="Times New Roman"/>
          <w:color w:val="00000a"/>
          <w:sz w:val="24"/>
        </w:rPr>
        <w:t xml:space="preserve">, Протокол № </w:t>
      </w:r>
      <w:r>
        <w:rPr>
          <w:rFonts w:ascii="Times New Roman" w:hAnsi="Times New Roman" w:eastAsia="Times New Roman"/>
          <w:color w:val="00000a"/>
          <w:sz w:val="24"/>
        </w:rPr>
        <w:t>2</w:t>
      </w:r>
      <w:r>
        <w:rPr>
          <w:rFonts w:ascii="Times New Roman" w:hAnsi="Times New Roman" w:eastAsia="Times New Roman"/>
          <w:color w:val="00000a"/>
          <w:sz w:val="24"/>
        </w:rPr>
        <w:t>2</w:t>
      </w:r>
      <w:r>
        <w:rPr>
          <w:rFonts w:ascii="Times New Roman" w:hAnsi="Times New Roman" w:eastAsia="Times New Roman"/>
          <w:color w:val="00000a"/>
          <w:sz w:val="24"/>
        </w:rPr>
        <w:t>;</w:t>
      </w:r>
      <w:r>
        <w:rPr>
          <w:rFonts w:ascii="Times New Roman" w:hAnsi="Times New Roman" w:eastAsia="Times New Roman"/>
          <w:color w:val="00000a"/>
          <w:sz w:val="24"/>
        </w:rPr>
      </w:r>
    </w:p>
    <w:p>
      <w:pPr>
        <w:pStyle w:val="para3"/>
        <w:numPr>
          <w:ilvl w:val="0"/>
          <w:numId w:val="4"/>
        </w:numPr>
        <w:ind w:left="1428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суммой пеней за несвоевременную оплату жилищно-коммунальных платежей;</w:t>
      </w:r>
    </w:p>
    <w:p>
      <w:pPr>
        <w:pStyle w:val="para3"/>
        <w:numPr>
          <w:ilvl w:val="0"/>
          <w:numId w:val="4"/>
        </w:numPr>
        <w:ind w:left="1428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доходов от сдачи в аренду общедомового имущества (арендная плата провайдеров).</w:t>
      </w:r>
    </w:p>
    <w:p>
      <w:pPr>
        <w:ind w:firstLine="708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За 2024 год фактические доходы составили 5 677,4 тыс. руб., в том числе:</w:t>
      </w:r>
    </w:p>
    <w:p>
      <w:pPr>
        <w:pStyle w:val="para3"/>
        <w:numPr>
          <w:ilvl w:val="0"/>
          <w:numId w:val="9"/>
        </w:numPr>
        <w:ind w:left="72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плата за содержание и  текущий ремонт – 5 577,0 тыс. руб.;</w:t>
      </w:r>
    </w:p>
    <w:p>
      <w:pPr>
        <w:pStyle w:val="para3"/>
        <w:numPr>
          <w:ilvl w:val="0"/>
          <w:numId w:val="9"/>
        </w:numPr>
        <w:ind w:left="72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использование общедомового имущества -  37,1 тыс. руб.;</w:t>
      </w:r>
    </w:p>
    <w:p>
      <w:pPr>
        <w:pStyle w:val="para3"/>
        <w:numPr>
          <w:ilvl w:val="0"/>
          <w:numId w:val="9"/>
        </w:numPr>
        <w:ind w:left="72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пени – 30,8 тыс. руб.;</w:t>
      </w:r>
    </w:p>
    <w:p>
      <w:pPr>
        <w:pStyle w:val="para3"/>
        <w:numPr>
          <w:ilvl w:val="0"/>
          <w:numId w:val="9"/>
        </w:numPr>
        <w:ind w:left="720" w:hanging="360"/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проценты по депозиту – 32,5 тыс. руб.</w:t>
      </w:r>
    </w:p>
    <w:p>
      <w:pPr>
        <w:spacing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b/>
          <w:color w:val="00000a"/>
          <w:sz w:val="24"/>
        </w:rPr>
        <w:t>Фактические расходы ТСЖ</w:t>
      </w:r>
      <w:r>
        <w:rPr>
          <w:rFonts w:ascii="Times New Roman" w:hAnsi="Times New Roman" w:eastAsia="Times New Roman"/>
          <w:color w:val="00000a"/>
          <w:sz w:val="24"/>
        </w:rPr>
        <w:t xml:space="preserve">  составили 6 088,1 тыс. руб., при плановых значениях 5 611,9  тыс. рублей. Значительное превышение фактических расходов над планируемыми произошло по статьям непредвиденные расходы и подготовка дома к зиме, в том числе: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По статье непредвиденные расходы:</w:t>
      </w:r>
    </w:p>
    <w:p>
      <w:pPr>
        <w:pStyle w:val="para3"/>
        <w:numPr>
          <w:ilvl w:val="0"/>
          <w:numId w:val="11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Замена стояка горячей воды – 35,3тыс. руб.;</w:t>
      </w:r>
    </w:p>
    <w:p>
      <w:pPr>
        <w:pStyle w:val="para3"/>
        <w:numPr>
          <w:ilvl w:val="0"/>
          <w:numId w:val="11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Замена, ремонт ливневой канализации – 116,4 тыс. руб.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По статье подготовка дома к зиме:</w:t>
      </w:r>
    </w:p>
    <w:p>
      <w:pPr>
        <w:pStyle w:val="para3"/>
        <w:numPr>
          <w:ilvl w:val="0"/>
          <w:numId w:val="12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Замена датчика давления – 19,5 тыс. руб.;</w:t>
      </w:r>
    </w:p>
    <w:p>
      <w:pPr>
        <w:pStyle w:val="para3"/>
        <w:numPr>
          <w:ilvl w:val="0"/>
          <w:numId w:val="12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Ремонт ВКТ – 15,7 тыс. руб.;</w:t>
      </w:r>
    </w:p>
    <w:p>
      <w:pPr>
        <w:pStyle w:val="para3"/>
        <w:numPr>
          <w:ilvl w:val="0"/>
          <w:numId w:val="12"/>
        </w:numPr>
        <w:ind w:left="720" w:hanging="36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Замена задвижки участка розлива г/в – 23,3 тыс. руб.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ind w:firstLine="708"/>
        <w:spacing w:before="100" w:after="0" w:line="240" w:lineRule="auto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b/>
          <w:sz w:val="24"/>
        </w:rPr>
        <w:t>4. Оплата труда</w:t>
      </w:r>
      <w:r>
        <w:rPr>
          <w:rFonts w:ascii="Times New Roman" w:hAnsi="Times New Roman" w:eastAsia="Times New Roman"/>
          <w:sz w:val="24"/>
        </w:rPr>
      </w:r>
    </w:p>
    <w:p>
      <w:pPr>
        <w:ind w:firstLine="540"/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a"/>
          <w:sz w:val="24"/>
        </w:rPr>
        <w:t xml:space="preserve"> </w:t>
      </w:r>
      <w:r>
        <w:rPr>
          <w:rFonts w:ascii="Times New Roman" w:hAnsi="Times New Roman" w:eastAsia="Times New Roman"/>
          <w:sz w:val="24"/>
        </w:rPr>
        <w:t>Начисление заработной платы и сумм отпускных выплат производилось бухгалтерией  ТСЖ  в соответствии с утвержденным штатным расписанием  на 2024 год  и табелями учета отработанного времени, на основе Положения  об оплате труда.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Фактический фонд оплаты труда (начисленный) за  2024 года составил  1 852,7 тыс. руб., что превышает запланированный на 141,9 тыс. руб. Увеличение расходов на оплату труда объясняется необходимостью регулярного обслуживания и уборки дома и территории в длительные праздничные дни, повышенной оплатой работы сотрудников в выходные праздничные дни, согласно трудового законодательства РФ.</w:t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sz w:val="24"/>
        </w:rPr>
        <w:t>На конец отчетного периода Общество не имело просроченной задолженности по заработной плате, в бюджет по НДФЛ и внебюджетные фонды.</w:t>
      </w:r>
    </w:p>
    <w:p>
      <w:pPr>
        <w:ind w:firstLine="540"/>
        <w:spacing w:after="0" w:line="240" w:lineRule="auto"/>
        <w:jc w:val="both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spacing w:before="100"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>Председатель ревизионной комиссии                                    Исмаил И.В.</w:t>
      </w:r>
    </w:p>
    <w:p>
      <w:pPr>
        <w:spacing w:before="100"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</w:r>
    </w:p>
    <w:p>
      <w:pPr>
        <w:spacing w:before="100" w:after="0" w:line="240" w:lineRule="auto"/>
        <w:rPr>
          <w:rFonts w:ascii="Times New Roman" w:hAnsi="Times New Roman" w:eastAsia="Times New Roman"/>
          <w:color w:val="00000a"/>
          <w:sz w:val="24"/>
        </w:rPr>
      </w:pPr>
      <w:r>
        <w:rPr>
          <w:rFonts w:ascii="Times New Roman" w:hAnsi="Times New Roman" w:eastAsia="Times New Roman"/>
          <w:color w:val="00000a"/>
          <w:sz w:val="24"/>
        </w:rPr>
        <w:t xml:space="preserve">Член комиссии                                                                           Черешнюк И.В.                                                                                               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1134" w:right="850" w:bottom="1134" w:header="0" w:footer="0"/>
      <w:paperSrc w:first="7" w:other="7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cc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cc"/>
    <w:family w:val="swiss"/>
    <w:pitch w:val="default"/>
  </w:font>
  <w:font w:name="Cambria">
    <w:panose1 w:val="02040503050406030204"/>
    <w:charset w:val="cc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numFmt w:val="bullet"/>
      <w:suff w:val="tab"/>
      <w:lvlText w:val=""/>
      <w:lvlJc w:val="left"/>
      <w:pPr>
        <w:ind w:left="108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80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4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6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40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2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84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Нумерованный список 2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3">
    <w:multiLevelType w:val="hybridMultilevel"/>
    <w:name w:val="Нумерованный список 3"/>
    <w:lvl w:ilvl="0">
      <w:numFmt w:val="bullet"/>
      <w:suff w:val="tab"/>
      <w:lvlText w:val=""/>
      <w:lvlJc w:val="left"/>
      <w:pPr>
        <w:ind w:left="0" w:hanging="0"/>
      </w:pPr>
      <w:rPr>
        <w:rFonts w:ascii="Symbol" w:hAnsi="Symbol"/>
      </w:rPr>
    </w:lvl>
    <w:lvl w:ilvl="1">
      <w:start w:val="0"/>
      <w:numFmt w:val="decimal"/>
      <w:suff w:val="tab"/>
      <w:lvlText w:val=""/>
      <w:lvlJc w:val="left"/>
      <w:pPr>
        <w:ind w:left="0" w:hanging="0"/>
      </w:pPr>
    </w:lvl>
    <w:lvl w:ilvl="2">
      <w:start w:val="0"/>
      <w:numFmt w:val="decimal"/>
      <w:suff w:val="tab"/>
      <w:lvlText w:val=""/>
      <w:lvlJc w:val="left"/>
      <w:pPr>
        <w:ind w:left="0" w:hanging="0"/>
      </w:pPr>
    </w:lvl>
    <w:lvl w:ilvl="3">
      <w:start w:val="0"/>
      <w:numFmt w:val="decimal"/>
      <w:suff w:val="tab"/>
      <w:lvlText w:val=""/>
      <w:lvlJc w:val="left"/>
      <w:pPr>
        <w:ind w:left="0" w:hanging="0"/>
      </w:pPr>
    </w:lvl>
    <w:lvl w:ilvl="4">
      <w:start w:val="0"/>
      <w:numFmt w:val="decimal"/>
      <w:suff w:val="tab"/>
      <w:lvlText w:val=""/>
      <w:lvlJc w:val="left"/>
      <w:pPr>
        <w:ind w:left="0" w:hanging="0"/>
      </w:pPr>
    </w:lvl>
    <w:lvl w:ilvl="5">
      <w:start w:val="0"/>
      <w:numFmt w:val="decimal"/>
      <w:suff w:val="tab"/>
      <w:lvlText w:val=""/>
      <w:lvlJc w:val="left"/>
      <w:pPr>
        <w:ind w:left="0" w:hanging="0"/>
      </w:pPr>
    </w:lvl>
    <w:lvl w:ilvl="6">
      <w:start w:val="0"/>
      <w:numFmt w:val="decimal"/>
      <w:suff w:val="tab"/>
      <w:lvlText w:val=""/>
      <w:lvlJc w:val="left"/>
      <w:pPr>
        <w:ind w:left="0" w:hanging="0"/>
      </w:pPr>
    </w:lvl>
    <w:lvl w:ilvl="7">
      <w:start w:val="0"/>
      <w:numFmt w:val="decimal"/>
      <w:suff w:val="tab"/>
      <w:lvlText w:val=""/>
      <w:lvlJc w:val="left"/>
      <w:pPr>
        <w:ind w:left="0" w:hanging="0"/>
      </w:pPr>
    </w:lvl>
    <w:lvl w:ilvl="8">
      <w:start w:val="0"/>
      <w:numFmt w:val="decimal"/>
      <w:suff w:val="tab"/>
      <w:lvlText w:val=""/>
      <w:lvlJc w:val="left"/>
      <w:pPr>
        <w:ind w:left="0" w:hanging="0"/>
      </w:pPr>
    </w:lvl>
  </w:abstractNum>
  <w:abstractNum w:abstractNumId="4">
    <w:multiLevelType w:val="hybridMultilevel"/>
    <w:name w:val="Нумерованный список 4"/>
    <w:lvl w:ilvl="0">
      <w:numFmt w:val="bullet"/>
      <w:suff w:val="tab"/>
      <w:lvlText w:val=""/>
      <w:lvlJc w:val="left"/>
      <w:pPr>
        <w:ind w:left="1068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788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508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28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48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668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388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08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828" w:hanging="0"/>
      </w:pPr>
      <w:rPr>
        <w:rFonts w:ascii="Wingdings" w:hAnsi="Wingdings" w:eastAsia="Wingdings" w:cs="Wingdings"/>
      </w:rPr>
    </w:lvl>
  </w:abstractNum>
  <w:abstractNum w:abstractNumId="5">
    <w:multiLevelType w:val="hybridMultilevel"/>
    <w:name w:val="Нумерованный список 5"/>
    <w:lvl w:ilvl="0">
      <w:numFmt w:val="bullet"/>
      <w:suff w:val="tab"/>
      <w:lvlText w:val=""/>
      <w:lvlJc w:val="left"/>
      <w:pPr>
        <w:ind w:left="108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80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4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6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40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2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840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Нумерованный список 6"/>
    <w:lvl w:ilvl="0">
      <w:numFmt w:val="bullet"/>
      <w:suff w:val="tab"/>
      <w:lvlText w:val="•"/>
      <w:lvlJc w:val="left"/>
      <w:pPr>
        <w:ind w:left="0" w:hanging="0"/>
      </w:pPr>
    </w:lvl>
    <w:lvl w:ilvl="1">
      <w:start w:val="0"/>
      <w:numFmt w:val="decimal"/>
      <w:suff w:val="tab"/>
      <w:lvlText w:val=""/>
      <w:lvlJc w:val="left"/>
      <w:pPr>
        <w:ind w:left="0" w:hanging="0"/>
      </w:pPr>
    </w:lvl>
    <w:lvl w:ilvl="2">
      <w:start w:val="0"/>
      <w:numFmt w:val="decimal"/>
      <w:suff w:val="tab"/>
      <w:lvlText w:val=""/>
      <w:lvlJc w:val="left"/>
      <w:pPr>
        <w:ind w:left="0" w:hanging="0"/>
      </w:pPr>
    </w:lvl>
    <w:lvl w:ilvl="3">
      <w:start w:val="0"/>
      <w:numFmt w:val="decimal"/>
      <w:suff w:val="tab"/>
      <w:lvlText w:val=""/>
      <w:lvlJc w:val="left"/>
      <w:pPr>
        <w:ind w:left="0" w:hanging="0"/>
      </w:pPr>
    </w:lvl>
    <w:lvl w:ilvl="4">
      <w:start w:val="0"/>
      <w:numFmt w:val="decimal"/>
      <w:suff w:val="tab"/>
      <w:lvlText w:val=""/>
      <w:lvlJc w:val="left"/>
      <w:pPr>
        <w:ind w:left="0" w:hanging="0"/>
      </w:pPr>
    </w:lvl>
    <w:lvl w:ilvl="5">
      <w:start w:val="0"/>
      <w:numFmt w:val="decimal"/>
      <w:suff w:val="tab"/>
      <w:lvlText w:val=""/>
      <w:lvlJc w:val="left"/>
      <w:pPr>
        <w:ind w:left="0" w:hanging="0"/>
      </w:pPr>
    </w:lvl>
    <w:lvl w:ilvl="6">
      <w:start w:val="0"/>
      <w:numFmt w:val="decimal"/>
      <w:suff w:val="tab"/>
      <w:lvlText w:val=""/>
      <w:lvlJc w:val="left"/>
      <w:pPr>
        <w:ind w:left="0" w:hanging="0"/>
      </w:pPr>
    </w:lvl>
    <w:lvl w:ilvl="7">
      <w:start w:val="0"/>
      <w:numFmt w:val="decimal"/>
      <w:suff w:val="tab"/>
      <w:lvlText w:val=""/>
      <w:lvlJc w:val="left"/>
      <w:pPr>
        <w:ind w:left="0" w:hanging="0"/>
      </w:pPr>
    </w:lvl>
    <w:lvl w:ilvl="8">
      <w:start w:val="0"/>
      <w:numFmt w:val="decimal"/>
      <w:suff w:val="tab"/>
      <w:lvlText w:val=""/>
      <w:lvlJc w:val="left"/>
      <w:pPr>
        <w:ind w:left="0" w:hanging="0"/>
      </w:pPr>
    </w:lvl>
  </w:abstractNum>
  <w:abstractNum w:abstractNumId="7">
    <w:multiLevelType w:val="hybridMultilevel"/>
    <w:name w:val="Нумерованный список 7"/>
    <w:lvl w:ilvl="0">
      <w:numFmt w:val="bullet"/>
      <w:suff w:val="tab"/>
      <w:lvlText w:val=""/>
      <w:lvlJc w:val="left"/>
      <w:pPr>
        <w:ind w:left="180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252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96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68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612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84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560" w:hanging="0"/>
      </w:pPr>
      <w:rPr>
        <w:rFonts w:ascii="Wingdings" w:hAnsi="Wingdings" w:eastAsia="Wingdings" w:cs="Wingdings"/>
      </w:rPr>
    </w:lvl>
  </w:abstractNum>
  <w:abstractNum w:abstractNumId="8">
    <w:multiLevelType w:val="hybridMultilevel"/>
    <w:name w:val="Нумерованный список 8"/>
    <w:lvl w:ilvl="0">
      <w:numFmt w:val="bullet"/>
      <w:suff w:val="tab"/>
      <w:lvlText w:val="•"/>
      <w:lvlJc w:val="left"/>
      <w:pPr>
        <w:ind w:left="0" w:hanging="0"/>
      </w:pPr>
    </w:lvl>
    <w:lvl w:ilvl="1">
      <w:start w:val="0"/>
      <w:numFmt w:val="decimal"/>
      <w:suff w:val="tab"/>
      <w:lvlText w:val=""/>
      <w:lvlJc w:val="left"/>
      <w:pPr>
        <w:ind w:left="0" w:hanging="0"/>
      </w:pPr>
    </w:lvl>
    <w:lvl w:ilvl="2">
      <w:start w:val="0"/>
      <w:numFmt w:val="decimal"/>
      <w:suff w:val="tab"/>
      <w:lvlText w:val=""/>
      <w:lvlJc w:val="left"/>
      <w:pPr>
        <w:ind w:left="0" w:hanging="0"/>
      </w:pPr>
    </w:lvl>
    <w:lvl w:ilvl="3">
      <w:start w:val="0"/>
      <w:numFmt w:val="decimal"/>
      <w:suff w:val="tab"/>
      <w:lvlText w:val=""/>
      <w:lvlJc w:val="left"/>
      <w:pPr>
        <w:ind w:left="0" w:hanging="0"/>
      </w:pPr>
    </w:lvl>
    <w:lvl w:ilvl="4">
      <w:start w:val="0"/>
      <w:numFmt w:val="decimal"/>
      <w:suff w:val="tab"/>
      <w:lvlText w:val=""/>
      <w:lvlJc w:val="left"/>
      <w:pPr>
        <w:ind w:left="0" w:hanging="0"/>
      </w:pPr>
    </w:lvl>
    <w:lvl w:ilvl="5">
      <w:start w:val="0"/>
      <w:numFmt w:val="decimal"/>
      <w:suff w:val="tab"/>
      <w:lvlText w:val=""/>
      <w:lvlJc w:val="left"/>
      <w:pPr>
        <w:ind w:left="0" w:hanging="0"/>
      </w:pPr>
    </w:lvl>
    <w:lvl w:ilvl="6">
      <w:start w:val="0"/>
      <w:numFmt w:val="decimal"/>
      <w:suff w:val="tab"/>
      <w:lvlText w:val=""/>
      <w:lvlJc w:val="left"/>
      <w:pPr>
        <w:ind w:left="0" w:hanging="0"/>
      </w:pPr>
    </w:lvl>
    <w:lvl w:ilvl="7">
      <w:start w:val="0"/>
      <w:numFmt w:val="decimal"/>
      <w:suff w:val="tab"/>
      <w:lvlText w:val=""/>
      <w:lvlJc w:val="left"/>
      <w:pPr>
        <w:ind w:left="0" w:hanging="0"/>
      </w:pPr>
    </w:lvl>
    <w:lvl w:ilvl="8">
      <w:start w:val="0"/>
      <w:numFmt w:val="decimal"/>
      <w:suff w:val="tab"/>
      <w:lvlText w:val=""/>
      <w:lvlJc w:val="left"/>
      <w:pPr>
        <w:ind w:left="0" w:hanging="0"/>
      </w:pPr>
    </w:lvl>
  </w:abstractNum>
  <w:abstractNum w:abstractNumId="9">
    <w:multiLevelType w:val="hybridMultilevel"/>
    <w:name w:val="Нумерованный список 9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0">
    <w:multiLevelType w:val="hybridMultilevel"/>
    <w:name w:val="Нумерованный список 10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1">
    <w:multiLevelType w:val="hybridMultilevel"/>
    <w:name w:val="Нумерованный список 11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2">
    <w:multiLevelType w:val="hybridMultilevel"/>
    <w:name w:val="Нумерованный список 12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7"/>
  <w:tmPrefTwo w:val="1"/>
  <w:tmFmtPref w:val="55065707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5"/>
      <w:tmLastPosIdx w:val="152"/>
    </w:tmLastPosCaret>
    <w:tmLastPosAnchor>
      <w:tmLastPosPgfIdx w:val="0"/>
      <w:tmLastPosIdx w:val="0"/>
    </w:tmLastPosAnchor>
    <w:tmLastPosTblRect w:left="0" w:top="0" w:right="0" w:bottom="0"/>
  </w:tmLastPos>
  <w:tmAppRevision w:date="1742798275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 w:after="0"/>
      <w:keepNext/>
      <w:outlineLvl w:val="0"/>
      <w:keepLines/>
    </w:pPr>
    <w:rPr>
      <w:rFonts w:ascii="Cambria" w:hAnsi="Cambria" w:eastAsia="Cambria"/>
      <w:b/>
      <w:bCs/>
      <w:color w:val="365f91"/>
      <w:sz w:val="28"/>
      <w:szCs w:val="28"/>
    </w:rPr>
  </w:style>
  <w:style w:type="paragraph" w:styleId="para2">
    <w:name w:val="heading 2"/>
    <w:qFormat/>
    <w:basedOn w:val="para0"/>
    <w:pPr>
      <w:spacing w:before="100" w:after="100" w:beforeAutospacing="1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para3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Заголовок 2 Знак"/>
    <w:basedOn w:val="char0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char2" w:customStyle="1">
    <w:name w:val="Заголовок 1 Знак"/>
    <w:basedOn w:val="char0"/>
    <w:rPr>
      <w:rFonts w:ascii="Cambria" w:hAnsi="Cambria" w:eastAsia="Cambria"/>
      <w:b/>
      <w:bCs/>
      <w:color w:val="365f91"/>
      <w:sz w:val="28"/>
      <w:szCs w:val="2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 w:after="0"/>
      <w:keepNext/>
      <w:outlineLvl w:val="0"/>
      <w:keepLines/>
    </w:pPr>
    <w:rPr>
      <w:rFonts w:ascii="Cambria" w:hAnsi="Cambria" w:eastAsia="Cambria"/>
      <w:b/>
      <w:bCs/>
      <w:color w:val="365f91"/>
      <w:sz w:val="28"/>
      <w:szCs w:val="28"/>
    </w:rPr>
  </w:style>
  <w:style w:type="paragraph" w:styleId="para2">
    <w:name w:val="heading 2"/>
    <w:qFormat/>
    <w:basedOn w:val="para0"/>
    <w:pPr>
      <w:spacing w:before="100" w:after="100" w:beforeAutospacing="1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para3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Заголовок 2 Знак"/>
    <w:basedOn w:val="char0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char2" w:customStyle="1">
    <w:name w:val="Заголовок 1 Знак"/>
    <w:basedOn w:val="char0"/>
    <w:rPr>
      <w:rFonts w:ascii="Cambria" w:hAnsi="Cambria" w:eastAsia="Cambria"/>
      <w:b/>
      <w:bCs/>
      <w:color w:val="365f91"/>
      <w:sz w:val="28"/>
      <w:szCs w:val="28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/>
  <cp:revision>22</cp:revision>
  <cp:lastPrinted>2025-03-24T06:51:27Z</cp:lastPrinted>
  <dcterms:created xsi:type="dcterms:W3CDTF">2025-03-06T14:48:00Z</dcterms:created>
  <dcterms:modified xsi:type="dcterms:W3CDTF">2025-03-24T06:37:55Z</dcterms:modified>
</cp:coreProperties>
</file>